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43D0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651B8" w:rsidRPr="005651B8" w:rsidRDefault="00706A4E" w:rsidP="003560E2">
            <w:pPr>
              <w:spacing w:before="40"/>
              <w:rPr>
                <w:rFonts w:ascii="Tahoma" w:hAnsi="Tahoma" w:cs="Tahoma"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43001-389/2021-10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A-167/21 G</w:t>
            </w:r>
            <w:r w:rsidR="00424A5A" w:rsidRPr="00643D0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43D0F"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43D0F" w:rsidRDefault="009257D5" w:rsidP="00706A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06A4E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643D0F" w:rsidRPr="00643D0F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643D0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43D0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43D0F" w:rsidRDefault="00643D0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43D0F">
              <w:rPr>
                <w:rFonts w:ascii="Tahoma" w:hAnsi="Tahoma" w:cs="Tahoma"/>
                <w:color w:val="0000FF"/>
                <w:sz w:val="20"/>
                <w:szCs w:val="20"/>
              </w:rPr>
              <w:t>2431-21-001430/0</w:t>
            </w:r>
          </w:p>
        </w:tc>
      </w:tr>
    </w:tbl>
    <w:p w:rsidR="00424A5A" w:rsidRPr="00643D0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813F4" w:rsidRPr="00643D0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43D0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43D0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43D0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43D0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43D0F">
        <w:tc>
          <w:tcPr>
            <w:tcW w:w="9288" w:type="dxa"/>
          </w:tcPr>
          <w:p w:rsidR="00E813F4" w:rsidRPr="00643D0F" w:rsidRDefault="00643D0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43D0F">
              <w:rPr>
                <w:rFonts w:ascii="Tahoma" w:hAnsi="Tahoma" w:cs="Tahoma"/>
                <w:b/>
                <w:szCs w:val="20"/>
              </w:rPr>
              <w:t>Gradnja kolesarske povezave Celje-Žalec</w:t>
            </w:r>
          </w:p>
        </w:tc>
      </w:tr>
    </w:tbl>
    <w:p w:rsidR="00E813F4" w:rsidRPr="00643D0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szCs w:val="20"/>
        </w:rPr>
      </w:pPr>
    </w:p>
    <w:p w:rsidR="00643D0F" w:rsidRPr="00643D0F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643D0F">
        <w:rPr>
          <w:rFonts w:ascii="Tahoma" w:hAnsi="Tahoma" w:cs="Tahoma"/>
          <w:b/>
          <w:szCs w:val="20"/>
        </w:rPr>
        <w:t>JN006855/2021-B01 - A-167/21, datum objave: 07.10.2021</w:t>
      </w:r>
    </w:p>
    <w:p w:rsidR="00643D0F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 xml:space="preserve">Datum prejema: </w:t>
      </w:r>
      <w:r w:rsidR="00706A4E">
        <w:rPr>
          <w:rFonts w:ascii="Tahoma" w:hAnsi="Tahoma" w:cs="Tahoma"/>
          <w:b/>
          <w:szCs w:val="20"/>
        </w:rPr>
        <w:t>26</w:t>
      </w:r>
      <w:r w:rsidRPr="00FD4511">
        <w:rPr>
          <w:rFonts w:ascii="Tahoma" w:hAnsi="Tahoma" w:cs="Tahoma"/>
          <w:b/>
          <w:szCs w:val="20"/>
        </w:rPr>
        <w:t xml:space="preserve">.10.2021   </w:t>
      </w:r>
      <w:r w:rsidR="00706A4E">
        <w:rPr>
          <w:rFonts w:ascii="Tahoma" w:hAnsi="Tahoma" w:cs="Tahoma"/>
          <w:b/>
          <w:szCs w:val="20"/>
        </w:rPr>
        <w:t>09</w:t>
      </w:r>
      <w:r w:rsidRPr="00FD4511">
        <w:rPr>
          <w:rFonts w:ascii="Tahoma" w:hAnsi="Tahoma" w:cs="Tahoma"/>
          <w:b/>
          <w:szCs w:val="20"/>
        </w:rPr>
        <w:t>:</w:t>
      </w:r>
      <w:r w:rsidR="00706A4E">
        <w:rPr>
          <w:rFonts w:ascii="Tahoma" w:hAnsi="Tahoma" w:cs="Tahoma"/>
          <w:b/>
          <w:szCs w:val="20"/>
        </w:rPr>
        <w:t>18</w:t>
      </w:r>
    </w:p>
    <w:p w:rsidR="00E813F4" w:rsidRPr="00FD4511" w:rsidRDefault="00643D0F" w:rsidP="00643D0F">
      <w:pPr>
        <w:pStyle w:val="EndnoteText"/>
        <w:jc w:val="both"/>
        <w:rPr>
          <w:rFonts w:ascii="Tahoma" w:hAnsi="Tahoma" w:cs="Tahoma"/>
          <w:b/>
          <w:szCs w:val="20"/>
        </w:rPr>
      </w:pPr>
      <w:r w:rsidRPr="00FD4511">
        <w:rPr>
          <w:rFonts w:ascii="Tahoma" w:hAnsi="Tahoma" w:cs="Tahoma"/>
          <w:b/>
          <w:szCs w:val="20"/>
        </w:rPr>
        <w:t>Vprašanje:</w:t>
      </w:r>
    </w:p>
    <w:p w:rsidR="00E813F4" w:rsidRPr="00706A4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257D5" w:rsidRPr="00706A4E" w:rsidRDefault="00706A4E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Veza na odgovor št.6., ponovno opozarjamo: gre za pogoj, kjer gre za:</w:t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- nesorazmernost med pogoji znotraj enega pogoja; namreč novogradnja ni enako rekonstrukciji jeklenega ali sovprežnega mostu. To lahko velja za postavko iz pogoja a)Rekonstrukcijo ali novogradnjo državne ali lokalne ceste ali državnih ali lokalnih kolesarskih površin v vrednosti vsaj 1.000.000,00 EUR (brez DDV), kjer gre za jasno definiran pogoj z definirano vrednostjo, kjer so tudi postavke izvedbene postavke lahko primerljive kot npr. izkopi, zasipi, planiranje itd.</w:t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Ne more pa veljati za pogoj iz točke b) novogradnjo ali rekonstrukcijo vsaj enega jeklenega ali sovprežnega (jeklo in beton) premostitvenega objekta s svetlim razponom vsaj 30,0 m med krajnima opornikoma.</w:t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Novogradnja je namreč v tem primeru jasno definirana, jasno je definiran tudi obseg del oziroma dolžina novozgrajenega mostu(30m). To pa NIKAKOR ne velja za pojem rekonstrukcije, kjer se lahko ponudniki zagovarjajo z barvanjem jeklene konstrukcije, zamenjavo vijakov, zamenjavo HI na objektu, sanacijo betona, sanacijo asfalta,...kar nikakor ni primerljivo s pogojem novogradnje iz iste točke in ni primerljivo z deli iz predmetnega JN, ki se zahtevajo za izvedbo.</w:t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- nesorazmernost pogoja iz točke b) glede na zahtevnost in način izvedbe razpisanega javnega naročila.</w:t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Izvajala se bo novogradnja mostov in ne rekonstrukcija. Kot ponudnik se zavedamo kaj pomeni pojem rekonstrukcije v tretjem odstavku 18. člena Zakona o cestah, obenem pa ponovno opozarjamo da gre za nedefiniran pogoj-brez obsega del, brez vrednosti, teže konstrukcije,... in omogoča široke možnosti za zagotovitev takšnega pogoja.</w:t>
      </w:r>
      <w:r w:rsidRPr="00706A4E">
        <w:rPr>
          <w:rFonts w:ascii="Tahoma" w:hAnsi="Tahoma" w:cs="Tahoma"/>
          <w:color w:val="333333"/>
          <w:szCs w:val="20"/>
        </w:rPr>
        <w:br/>
      </w:r>
      <w:r w:rsidRPr="00706A4E">
        <w:rPr>
          <w:rFonts w:ascii="Tahoma" w:hAnsi="Tahoma" w:cs="Tahoma"/>
          <w:color w:val="333333"/>
          <w:szCs w:val="20"/>
          <w:shd w:val="clear" w:color="auto" w:fill="FFFFFF"/>
        </w:rPr>
        <w:t>Zato naročnika ponovno opozarjamo, da popravi in jasno definira pogoj iz točke b),"pojem rekonstrukcija" ki bo sorazmeren z deli iz predmetnega JN in sorazmeren s pojmom iz iste točke "novogradnja".</w:t>
      </w:r>
    </w:p>
    <w:p w:rsidR="00FD4511" w:rsidRDefault="00FD4511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706A4E" w:rsidRPr="00706A4E" w:rsidRDefault="00706A4E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4164A">
      <w:pPr>
        <w:pStyle w:val="BodyText2"/>
        <w:jc w:val="left"/>
        <w:rPr>
          <w:rFonts w:ascii="Tahoma" w:hAnsi="Tahoma" w:cs="Tahoma"/>
          <w:b/>
          <w:szCs w:val="20"/>
        </w:rPr>
      </w:pPr>
      <w:r w:rsidRPr="00706A4E">
        <w:rPr>
          <w:rFonts w:ascii="Tahoma" w:hAnsi="Tahoma" w:cs="Tahoma"/>
          <w:b/>
          <w:szCs w:val="20"/>
        </w:rPr>
        <w:t>Odgovor:</w:t>
      </w:r>
    </w:p>
    <w:p w:rsidR="00D154AC" w:rsidRPr="00706A4E" w:rsidRDefault="00D154AC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53CB3" w:rsidRDefault="00F53CB3" w:rsidP="00F53CB3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 xml:space="preserve">Naročnik bo </w:t>
      </w:r>
      <w:r w:rsidR="003B42F1">
        <w:rPr>
          <w:rFonts w:ascii="Tahoma" w:hAnsi="Tahoma" w:cs="Tahoma"/>
          <w:szCs w:val="20"/>
        </w:rPr>
        <w:t xml:space="preserve">kot rekonstrukcijo </w:t>
      </w:r>
      <w:r>
        <w:rPr>
          <w:rFonts w:ascii="Tahoma" w:hAnsi="Tahoma" w:cs="Tahoma"/>
          <w:szCs w:val="20"/>
        </w:rPr>
        <w:t>upošteval referenčne posle pri katerih je bilo pri referenčnem objektu zamenjanih ali dodanih vsaj 10 t jeklenih nosilnih elementov.</w:t>
      </w:r>
    </w:p>
    <w:p w:rsidR="00F53CB3" w:rsidRDefault="00F53CB3" w:rsidP="00F53CB3">
      <w:pPr>
        <w:pStyle w:val="BodyText2"/>
        <w:rPr>
          <w:rFonts w:ascii="Tahoma" w:hAnsi="Tahoma" w:cs="Tahoma"/>
          <w:szCs w:val="20"/>
        </w:rPr>
      </w:pPr>
    </w:p>
    <w:p w:rsidR="00F53CB3" w:rsidRDefault="00F53CB3" w:rsidP="00F53CB3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Temu ustrezno bodo dopolnjena Navodila za pripravo ponudbe v točkah 3.2.3.4 in 3.2.3.5.</w:t>
      </w:r>
    </w:p>
    <w:bookmarkEnd w:id="0"/>
    <w:p w:rsidR="005052AF" w:rsidRPr="00706A4E" w:rsidRDefault="005052AF" w:rsidP="0084164A">
      <w:pPr>
        <w:pStyle w:val="BodyText2"/>
        <w:jc w:val="left"/>
        <w:rPr>
          <w:rFonts w:ascii="Tahoma" w:hAnsi="Tahoma" w:cs="Tahoma"/>
          <w:b/>
          <w:szCs w:val="20"/>
        </w:rPr>
      </w:pPr>
    </w:p>
    <w:sectPr w:rsidR="005052AF" w:rsidRPr="0070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93" w:rsidRDefault="00974293">
      <w:r>
        <w:separator/>
      </w:r>
    </w:p>
  </w:endnote>
  <w:endnote w:type="continuationSeparator" w:id="0">
    <w:p w:rsidR="00974293" w:rsidRDefault="0097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3D0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154A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43D0F" w:rsidRPr="00643501">
      <w:rPr>
        <w:noProof/>
        <w:lang w:eastAsia="sl-SI"/>
      </w:rPr>
      <w:drawing>
        <wp:inline distT="0" distB="0" distL="0" distR="0" wp14:anchorId="3F37A23C" wp14:editId="54579B75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643501">
      <w:rPr>
        <w:noProof/>
        <w:lang w:eastAsia="sl-SI"/>
      </w:rPr>
      <w:drawing>
        <wp:inline distT="0" distB="0" distL="0" distR="0" wp14:anchorId="3FF3B22B" wp14:editId="0306ED39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43D0F" w:rsidRPr="00CF74F9">
      <w:rPr>
        <w:noProof/>
        <w:lang w:eastAsia="sl-SI"/>
      </w:rPr>
      <w:drawing>
        <wp:inline distT="0" distB="0" distL="0" distR="0" wp14:anchorId="3BC74FC4" wp14:editId="684BE48D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93" w:rsidRDefault="00974293">
      <w:r>
        <w:separator/>
      </w:r>
    </w:p>
  </w:footnote>
  <w:footnote w:type="continuationSeparator" w:id="0">
    <w:p w:rsidR="00974293" w:rsidRDefault="0097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0F" w:rsidRDefault="00643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43D0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808FE5C" wp14:editId="3C12FB1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0F"/>
    <w:rsid w:val="000646A9"/>
    <w:rsid w:val="000E0B61"/>
    <w:rsid w:val="001836BB"/>
    <w:rsid w:val="00216549"/>
    <w:rsid w:val="00221CB3"/>
    <w:rsid w:val="00226189"/>
    <w:rsid w:val="002507C2"/>
    <w:rsid w:val="00263D58"/>
    <w:rsid w:val="00290551"/>
    <w:rsid w:val="003133A6"/>
    <w:rsid w:val="003560E2"/>
    <w:rsid w:val="003579C0"/>
    <w:rsid w:val="003B42F1"/>
    <w:rsid w:val="00424A5A"/>
    <w:rsid w:val="0044323F"/>
    <w:rsid w:val="00447948"/>
    <w:rsid w:val="004B34B5"/>
    <w:rsid w:val="005052AF"/>
    <w:rsid w:val="00556816"/>
    <w:rsid w:val="005651B8"/>
    <w:rsid w:val="00634B0D"/>
    <w:rsid w:val="00637BE6"/>
    <w:rsid w:val="00643D0F"/>
    <w:rsid w:val="006553E9"/>
    <w:rsid w:val="00706A4E"/>
    <w:rsid w:val="007611C6"/>
    <w:rsid w:val="00796311"/>
    <w:rsid w:val="0084164A"/>
    <w:rsid w:val="008544D9"/>
    <w:rsid w:val="009257D5"/>
    <w:rsid w:val="00943383"/>
    <w:rsid w:val="00956A51"/>
    <w:rsid w:val="00974293"/>
    <w:rsid w:val="0098783A"/>
    <w:rsid w:val="009B1FD9"/>
    <w:rsid w:val="009D09C0"/>
    <w:rsid w:val="009E3DBE"/>
    <w:rsid w:val="009F66F3"/>
    <w:rsid w:val="00A05AE1"/>
    <w:rsid w:val="00A05C73"/>
    <w:rsid w:val="00A17575"/>
    <w:rsid w:val="00A211A2"/>
    <w:rsid w:val="00A25CC9"/>
    <w:rsid w:val="00A4105E"/>
    <w:rsid w:val="00A65855"/>
    <w:rsid w:val="00AC1362"/>
    <w:rsid w:val="00AC5ABA"/>
    <w:rsid w:val="00AD3747"/>
    <w:rsid w:val="00C67A21"/>
    <w:rsid w:val="00D154AC"/>
    <w:rsid w:val="00D567B6"/>
    <w:rsid w:val="00DB240E"/>
    <w:rsid w:val="00DB7CDA"/>
    <w:rsid w:val="00DD3DBE"/>
    <w:rsid w:val="00DE6E2E"/>
    <w:rsid w:val="00E51016"/>
    <w:rsid w:val="00E66D5B"/>
    <w:rsid w:val="00E813F4"/>
    <w:rsid w:val="00EA1375"/>
    <w:rsid w:val="00F53CB3"/>
    <w:rsid w:val="00F663B9"/>
    <w:rsid w:val="00F77DEF"/>
    <w:rsid w:val="00F90734"/>
    <w:rsid w:val="00FA1E40"/>
    <w:rsid w:val="00FB29EA"/>
    <w:rsid w:val="00FB79A7"/>
    <w:rsid w:val="00FC5BE7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B257F"/>
  <w15:chartTrackingRefBased/>
  <w15:docId w15:val="{187DF94A-DDAB-48F7-9834-B27AFE2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6</cp:revision>
  <cp:lastPrinted>2021-10-28T09:49:00Z</cp:lastPrinted>
  <dcterms:created xsi:type="dcterms:W3CDTF">2021-10-26T08:50:00Z</dcterms:created>
  <dcterms:modified xsi:type="dcterms:W3CDTF">2021-10-28T09:50:00Z</dcterms:modified>
</cp:coreProperties>
</file>